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D08C" w14:textId="77777777" w:rsidR="00AC050C" w:rsidRDefault="0087695E" w:rsidP="0087695E">
      <w:r>
        <w:rPr>
          <w:noProof/>
        </w:rPr>
        <mc:AlternateContent>
          <mc:Choice Requires="wps">
            <w:drawing>
              <wp:anchor distT="0" distB="0" distL="114300" distR="114300" simplePos="0" relativeHeight="251659264" behindDoc="0" locked="0" layoutInCell="1" allowOverlap="1" wp14:anchorId="10105C8D" wp14:editId="5EBB3E39">
                <wp:simplePos x="0" y="0"/>
                <wp:positionH relativeFrom="column">
                  <wp:posOffset>2943225</wp:posOffset>
                </wp:positionH>
                <wp:positionV relativeFrom="paragraph">
                  <wp:posOffset>314325</wp:posOffset>
                </wp:positionV>
                <wp:extent cx="3019425"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1942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40068" w14:textId="77777777" w:rsidR="0087695E" w:rsidRPr="0087695E" w:rsidRDefault="0087695E">
                            <w:pPr>
                              <w:rPr>
                                <w:rFonts w:ascii="Candara" w:hAnsi="Candara" w:cs="Arial"/>
                                <w:b/>
                                <w:sz w:val="28"/>
                              </w:rPr>
                            </w:pPr>
                            <w:r w:rsidRPr="0087695E">
                              <w:rPr>
                                <w:rFonts w:ascii="Candara" w:hAnsi="Candara" w:cs="Arial"/>
                                <w:b/>
                                <w:sz w:val="28"/>
                              </w:rPr>
                              <w:t>California Association of Supervisors of</w:t>
                            </w:r>
                            <w:r>
                              <w:rPr>
                                <w:rFonts w:ascii="Candara" w:hAnsi="Candara" w:cs="Arial"/>
                                <w:b/>
                                <w:sz w:val="28"/>
                              </w:rPr>
                              <w:t xml:space="preserve"> </w:t>
                            </w:r>
                            <w:r w:rsidRPr="0087695E">
                              <w:rPr>
                                <w:rFonts w:ascii="Candara" w:hAnsi="Candara" w:cs="Arial"/>
                                <w:b/>
                                <w:sz w:val="28"/>
                              </w:rPr>
                              <w:t>Child Welfare and Attendance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05C8D" id="_x0000_t202" coordsize="21600,21600" o:spt="202" path="m,l,21600r21600,l21600,xe">
                <v:stroke joinstyle="miter"/>
                <v:path gradientshapeok="t" o:connecttype="rect"/>
              </v:shapetype>
              <v:shape id="Text Box 3" o:spid="_x0000_s1026" type="#_x0000_t202" style="position:absolute;margin-left:231.75pt;margin-top:24.75pt;width:237.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" filled="f" stroked="f" strokeweight=".5pt">
                <v:textbox>
                  <w:txbxContent>
                    <w:p w14:paraId="45140068" w14:textId="77777777" w:rsidR="0087695E" w:rsidRPr="0087695E" w:rsidRDefault="0087695E">
                      <w:pPr>
                        <w:rPr>
                          <w:rFonts w:ascii="Candara" w:hAnsi="Candara" w:cs="Arial"/>
                          <w:b/>
                          <w:sz w:val="28"/>
                        </w:rPr>
                      </w:pPr>
                      <w:r w:rsidRPr="0087695E">
                        <w:rPr>
                          <w:rFonts w:ascii="Candara" w:hAnsi="Candara" w:cs="Arial"/>
                          <w:b/>
                          <w:sz w:val="28"/>
                        </w:rPr>
                        <w:t>California Association of Supervisors of</w:t>
                      </w:r>
                      <w:r>
                        <w:rPr>
                          <w:rFonts w:ascii="Candara" w:hAnsi="Candara" w:cs="Arial"/>
                          <w:b/>
                          <w:sz w:val="28"/>
                        </w:rPr>
                        <w:t xml:space="preserve"> </w:t>
                      </w:r>
                      <w:r w:rsidRPr="0087695E">
                        <w:rPr>
                          <w:rFonts w:ascii="Candara" w:hAnsi="Candara" w:cs="Arial"/>
                          <w:b/>
                          <w:sz w:val="28"/>
                        </w:rPr>
                        <w:t>Child Welfare and Attendance</w:t>
                      </w:r>
                    </w:p>
                  </w:txbxContent>
                </v:textbox>
              </v:shape>
            </w:pict>
          </mc:Fallback>
        </mc:AlternateContent>
      </w:r>
      <w:r w:rsidR="00AC050C">
        <w:rPr>
          <w:noProof/>
        </w:rPr>
        <w:drawing>
          <wp:inline distT="0" distB="0" distL="0" distR="0" wp14:anchorId="504F08F7" wp14:editId="0317DA07">
            <wp:extent cx="2762250" cy="76049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CWA logo revised.png"/>
                    <pic:cNvPicPr/>
                  </pic:nvPicPr>
                  <pic:blipFill>
                    <a:blip r:embed="rId6">
                      <a:extLst>
                        <a:ext uri="{28A0092B-C50C-407E-A947-70E740481C1C}">
                          <a14:useLocalDpi xmlns:a14="http://schemas.microsoft.com/office/drawing/2010/main" val="0"/>
                        </a:ext>
                      </a:extLst>
                    </a:blip>
                    <a:stretch>
                      <a:fillRect/>
                    </a:stretch>
                  </pic:blipFill>
                  <pic:spPr>
                    <a:xfrm>
                      <a:off x="0" y="0"/>
                      <a:ext cx="2770979" cy="762896"/>
                    </a:xfrm>
                    <a:prstGeom prst="rect">
                      <a:avLst/>
                    </a:prstGeom>
                  </pic:spPr>
                </pic:pic>
              </a:graphicData>
            </a:graphic>
          </wp:inline>
        </w:drawing>
      </w:r>
    </w:p>
    <w:p w14:paraId="04AB5AF6" w14:textId="77777777" w:rsidR="0087695E" w:rsidRPr="0087695E" w:rsidRDefault="0087695E" w:rsidP="0087695E">
      <w:pPr>
        <w:tabs>
          <w:tab w:val="left" w:pos="9360"/>
        </w:tabs>
        <w:rPr>
          <w:color w:val="000000" w:themeColor="text1"/>
          <w:sz w:val="16"/>
          <w:u w:val="single"/>
        </w:rPr>
      </w:pPr>
      <w:r w:rsidRPr="0087695E">
        <w:rPr>
          <w:color w:val="000000" w:themeColor="text1"/>
          <w:sz w:val="16"/>
          <w:u w:val="single"/>
        </w:rPr>
        <w:t xml:space="preserve"> </w:t>
      </w:r>
      <w:r w:rsidRPr="0087695E">
        <w:rPr>
          <w:color w:val="000000" w:themeColor="text1"/>
          <w:sz w:val="16"/>
          <w:u w:val="single"/>
        </w:rPr>
        <w:tab/>
      </w:r>
    </w:p>
    <w:p w14:paraId="3CCD4983" w14:textId="77777777" w:rsidR="00AC050C" w:rsidRDefault="00AC050C"/>
    <w:p w14:paraId="2A89FEA2" w14:textId="77777777" w:rsidR="00F26277" w:rsidRPr="00F26277" w:rsidRDefault="0090372A" w:rsidP="00F26277">
      <w:pPr>
        <w:jc w:val="center"/>
        <w:rPr>
          <w:rFonts w:ascii="Georgia" w:hAnsi="Georgia"/>
          <w:b/>
          <w:sz w:val="32"/>
        </w:rPr>
      </w:pPr>
      <w:r w:rsidRPr="00F26277">
        <w:rPr>
          <w:rFonts w:ascii="Georgia" w:hAnsi="Georgia"/>
          <w:b/>
          <w:sz w:val="32"/>
        </w:rPr>
        <w:t>LEGISLATIVE UPDATE</w:t>
      </w:r>
    </w:p>
    <w:p w14:paraId="0AFA50BD" w14:textId="00B96BE7" w:rsidR="0087695E" w:rsidRPr="00F26277" w:rsidRDefault="00E50E50" w:rsidP="00E50E50">
      <w:pPr>
        <w:rPr>
          <w:rFonts w:ascii="Georgia" w:hAnsi="Georgia"/>
          <w:b/>
          <w:sz w:val="28"/>
        </w:rPr>
      </w:pPr>
      <w:r>
        <w:rPr>
          <w:rFonts w:ascii="Georgia" w:hAnsi="Georgia"/>
          <w:b/>
          <w:sz w:val="28"/>
        </w:rPr>
        <w:t xml:space="preserve">                                 </w:t>
      </w:r>
      <w:r w:rsidR="005C2982">
        <w:rPr>
          <w:rFonts w:ascii="Georgia" w:hAnsi="Georgia"/>
          <w:b/>
          <w:sz w:val="28"/>
        </w:rPr>
        <w:t xml:space="preserve">                 </w:t>
      </w:r>
      <w:r w:rsidR="00CA4B2A">
        <w:rPr>
          <w:rFonts w:ascii="Georgia" w:hAnsi="Georgia"/>
          <w:b/>
          <w:sz w:val="28"/>
        </w:rPr>
        <w:t>October 2021</w:t>
      </w:r>
    </w:p>
    <w:p w14:paraId="3FF82BDE" w14:textId="77777777" w:rsidR="0087695E" w:rsidRDefault="0087695E" w:rsidP="00F26277">
      <w:pPr>
        <w:jc w:val="center"/>
      </w:pPr>
    </w:p>
    <w:p w14:paraId="2EB7A8E2" w14:textId="37CC87AA" w:rsidR="00693902" w:rsidRPr="007740B0" w:rsidRDefault="00693902" w:rsidP="00F26277">
      <w:pPr>
        <w:tabs>
          <w:tab w:val="left" w:pos="1440"/>
        </w:tabs>
        <w:jc w:val="center"/>
      </w:pPr>
      <w:r w:rsidRPr="00DF7348">
        <w:rPr>
          <w:i/>
        </w:rPr>
        <w:t xml:space="preserve">Prepared </w:t>
      </w:r>
      <w:r w:rsidR="00EF6132" w:rsidRPr="00DF7348">
        <w:rPr>
          <w:i/>
        </w:rPr>
        <w:t>by</w:t>
      </w:r>
      <w:r w:rsidR="00F26277">
        <w:rPr>
          <w:i/>
        </w:rPr>
        <w:t xml:space="preserve"> </w:t>
      </w:r>
      <w:r>
        <w:t>Sherman Garn</w:t>
      </w:r>
      <w:r w:rsidR="000F02B6">
        <w:t xml:space="preserve">ett </w:t>
      </w:r>
    </w:p>
    <w:p w14:paraId="56D6B9A5" w14:textId="6141AA94" w:rsidR="00693902" w:rsidRDefault="00DF7348" w:rsidP="00F26277">
      <w:pPr>
        <w:tabs>
          <w:tab w:val="left" w:pos="1440"/>
        </w:tabs>
        <w:jc w:val="center"/>
      </w:pPr>
      <w:r>
        <w:t>C</w:t>
      </w:r>
      <w:r w:rsidR="00693902" w:rsidRPr="007740B0">
        <w:t>ASCWA Legislative Representative</w:t>
      </w:r>
    </w:p>
    <w:p w14:paraId="2F39E3E8" w14:textId="229C259D" w:rsidR="00065B20" w:rsidRPr="007740B0" w:rsidRDefault="00065B20" w:rsidP="00F26277">
      <w:pPr>
        <w:tabs>
          <w:tab w:val="left" w:pos="1440"/>
        </w:tabs>
        <w:jc w:val="center"/>
      </w:pPr>
      <w:r>
        <w:t>Assisted by: A. Dosty and D. Martin</w:t>
      </w:r>
    </w:p>
    <w:p w14:paraId="069CDD17" w14:textId="77777777" w:rsidR="00693902" w:rsidRPr="007740B0" w:rsidRDefault="00693902" w:rsidP="00693902">
      <w:r w:rsidRPr="007740B0">
        <w:t xml:space="preserve">                                          </w:t>
      </w:r>
      <w:r>
        <w:t xml:space="preserve">                              </w:t>
      </w:r>
    </w:p>
    <w:p w14:paraId="4ADA6F48" w14:textId="60C0AC5E" w:rsidR="00693902" w:rsidRDefault="00693902" w:rsidP="00DF7348">
      <w:r w:rsidRPr="007740B0">
        <w:t>Listed below is a brief synop</w:t>
      </w:r>
      <w:r w:rsidR="00AF050F">
        <w:t>sis of current leg</w:t>
      </w:r>
      <w:r w:rsidR="007E6C6A">
        <w:t>islation that has</w:t>
      </w:r>
      <w:r w:rsidR="00B32C78">
        <w:t xml:space="preserve"> been introduce</w:t>
      </w:r>
      <w:r w:rsidR="007F00D8">
        <w:t>d in the state Assembly and Senate.</w:t>
      </w:r>
      <w:r w:rsidR="007E6C6A">
        <w:t xml:space="preserve"> Please note that eac</w:t>
      </w:r>
      <w:r w:rsidR="00345774">
        <w:t xml:space="preserve">h bill listed </w:t>
      </w:r>
      <w:r w:rsidR="005C2982">
        <w:t>receive</w:t>
      </w:r>
      <w:r w:rsidR="00345774">
        <w:t>d</w:t>
      </w:r>
      <w:r w:rsidR="005C2982">
        <w:t xml:space="preserve"> legislative </w:t>
      </w:r>
      <w:r w:rsidR="008D5C13">
        <w:t>approval out</w:t>
      </w:r>
      <w:r w:rsidR="00B32C78">
        <w:t xml:space="preserve"> of </w:t>
      </w:r>
      <w:r w:rsidR="00CA4B2A">
        <w:t>both</w:t>
      </w:r>
      <w:r w:rsidR="00B32C78">
        <w:t xml:space="preserve"> </w:t>
      </w:r>
      <w:r w:rsidR="005C2982">
        <w:t xml:space="preserve">the </w:t>
      </w:r>
      <w:r w:rsidR="00B32C78">
        <w:t>state</w:t>
      </w:r>
      <w:r w:rsidR="00C74239">
        <w:t xml:space="preserve"> S</w:t>
      </w:r>
      <w:r w:rsidR="00B32C78">
        <w:t xml:space="preserve">enate </w:t>
      </w:r>
      <w:r w:rsidR="00CA4B2A">
        <w:t>and</w:t>
      </w:r>
      <w:r w:rsidR="005C2982">
        <w:t xml:space="preserve"> Assembly</w:t>
      </w:r>
      <w:r w:rsidR="007F00D8">
        <w:t xml:space="preserve"> </w:t>
      </w:r>
      <w:r w:rsidR="00CA4B2A">
        <w:t>and approved by the governor</w:t>
      </w:r>
      <w:r w:rsidR="003C6218">
        <w:t xml:space="preserve"> with implementation on Jan 1,2022 unless noted below.</w:t>
      </w:r>
      <w:r w:rsidRPr="007740B0">
        <w:t xml:space="preserve"> For a full description of each bill, you may access this information at: </w:t>
      </w:r>
      <w:hyperlink r:id="rId7" w:history="1">
        <w:r w:rsidRPr="007740B0">
          <w:rPr>
            <w:rStyle w:val="Hyperlink"/>
          </w:rPr>
          <w:t>www.senate.ca.gov</w:t>
        </w:r>
      </w:hyperlink>
      <w:r w:rsidR="00DF7348">
        <w:t xml:space="preserve"> </w:t>
      </w:r>
      <w:r w:rsidRPr="007740B0">
        <w:t xml:space="preserve">or </w:t>
      </w:r>
      <w:hyperlink r:id="rId8" w:history="1">
        <w:r w:rsidRPr="007740B0">
          <w:rPr>
            <w:rStyle w:val="Hyperlink"/>
          </w:rPr>
          <w:t>www.assembly.ca.gov</w:t>
        </w:r>
      </w:hyperlink>
      <w:r w:rsidRPr="007740B0">
        <w:t>.</w:t>
      </w:r>
    </w:p>
    <w:p w14:paraId="38EBF247" w14:textId="77777777" w:rsidR="00DF7348" w:rsidRPr="007740B0" w:rsidRDefault="00DF7348" w:rsidP="00DF7348"/>
    <w:tbl>
      <w:tblPr>
        <w:tblStyle w:val="TableGrid"/>
        <w:tblW w:w="0" w:type="auto"/>
        <w:tblLook w:val="04A0" w:firstRow="1" w:lastRow="0" w:firstColumn="1" w:lastColumn="0" w:noHBand="0" w:noVBand="1"/>
      </w:tblPr>
      <w:tblGrid>
        <w:gridCol w:w="9360"/>
      </w:tblGrid>
      <w:tr w:rsidR="00DA1444" w:rsidRPr="00F26277" w14:paraId="5C60AEFA" w14:textId="77777777" w:rsidTr="0090372A">
        <w:tc>
          <w:tcPr>
            <w:tcW w:w="9576" w:type="dxa"/>
            <w:tcBorders>
              <w:top w:val="nil"/>
              <w:left w:val="nil"/>
              <w:bottom w:val="nil"/>
              <w:right w:val="nil"/>
            </w:tcBorders>
            <w:shd w:val="clear" w:color="auto" w:fill="D9D9D9" w:themeFill="background1" w:themeFillShade="D9"/>
          </w:tcPr>
          <w:p w14:paraId="4EBA4E75" w14:textId="77777777" w:rsidR="00DA1444" w:rsidRPr="00F26277" w:rsidRDefault="004319BB" w:rsidP="00F26277">
            <w:pPr>
              <w:jc w:val="center"/>
              <w:rPr>
                <w:rFonts w:ascii="Georgia" w:hAnsi="Georgia"/>
                <w:b/>
                <w:szCs w:val="24"/>
              </w:rPr>
            </w:pPr>
            <w:r w:rsidRPr="00F26277">
              <w:rPr>
                <w:rFonts w:ascii="Georgia" w:hAnsi="Georgia"/>
                <w:b/>
                <w:szCs w:val="24"/>
              </w:rPr>
              <w:t>ASSEMBLY BILLS</w:t>
            </w:r>
          </w:p>
        </w:tc>
      </w:tr>
      <w:tr w:rsidR="00B76E64" w:rsidRPr="00F26277" w14:paraId="2F248DA3" w14:textId="77777777" w:rsidTr="0090372A">
        <w:tc>
          <w:tcPr>
            <w:tcW w:w="9576" w:type="dxa"/>
            <w:tcBorders>
              <w:top w:val="nil"/>
              <w:left w:val="nil"/>
              <w:bottom w:val="nil"/>
              <w:right w:val="nil"/>
            </w:tcBorders>
            <w:shd w:val="clear" w:color="auto" w:fill="D9D9D9" w:themeFill="background1" w:themeFillShade="D9"/>
          </w:tcPr>
          <w:p w14:paraId="042589CF" w14:textId="77777777" w:rsidR="00B76E64" w:rsidRPr="00F26277" w:rsidRDefault="00B76E64" w:rsidP="00B76E64">
            <w:pPr>
              <w:rPr>
                <w:rFonts w:ascii="Georgia" w:hAnsi="Georgia"/>
                <w:b/>
                <w:szCs w:val="24"/>
              </w:rPr>
            </w:pPr>
          </w:p>
        </w:tc>
      </w:tr>
    </w:tbl>
    <w:p w14:paraId="54CA347B" w14:textId="432C51CE" w:rsidR="00E96E86" w:rsidRDefault="007B6356" w:rsidP="00DA1444">
      <w:pPr>
        <w:spacing w:after="240"/>
      </w:pPr>
      <w:r w:rsidRPr="00065B20">
        <w:rPr>
          <w:b/>
          <w:bCs/>
        </w:rPr>
        <w:t xml:space="preserve"> </w:t>
      </w:r>
    </w:p>
    <w:p w14:paraId="0F5F11C7" w14:textId="044EF649" w:rsidR="00E96E86" w:rsidRDefault="00E96E86" w:rsidP="00DA1444">
      <w:pPr>
        <w:spacing w:after="240"/>
      </w:pPr>
      <w:r w:rsidRPr="00E96E86">
        <w:rPr>
          <w:b/>
          <w:bCs/>
        </w:rPr>
        <w:t>AB 27</w:t>
      </w:r>
      <w:r>
        <w:t xml:space="preserve"> (Rivas)-Requires a LEA to administer a housing questionnaire for purposes of identifying homeless children and youth annually to all parents and guardians. Requires creation and posting on the web site the contact information of the liaison </w:t>
      </w:r>
      <w:r w:rsidR="003517DD">
        <w:t xml:space="preserve">including resources available to persons experiencing homelessness. </w:t>
      </w:r>
    </w:p>
    <w:p w14:paraId="3E370CB5" w14:textId="33B03EFA" w:rsidR="001105F7" w:rsidRPr="001105F7" w:rsidRDefault="001105F7" w:rsidP="00DA1444">
      <w:pPr>
        <w:spacing w:after="240"/>
      </w:pPr>
      <w:r w:rsidRPr="001105F7">
        <w:rPr>
          <w:b/>
          <w:bCs/>
        </w:rPr>
        <w:t>AB 92</w:t>
      </w:r>
      <w:r>
        <w:rPr>
          <w:b/>
          <w:bCs/>
        </w:rPr>
        <w:t xml:space="preserve"> </w:t>
      </w:r>
      <w:r>
        <w:t xml:space="preserve">(Reyes) -Declares the intent of the legislature to enact legislation that would alleviate the burden on low-income families of fees for pre-school and </w:t>
      </w:r>
      <w:r w:rsidR="007401B2">
        <w:t>childcare</w:t>
      </w:r>
      <w:r>
        <w:t xml:space="preserve"> and developmental services.</w:t>
      </w:r>
    </w:p>
    <w:p w14:paraId="6F260742" w14:textId="5EBC5747" w:rsidR="00B5564B" w:rsidRPr="00B5564B" w:rsidRDefault="003517DD" w:rsidP="00DA1444">
      <w:pPr>
        <w:spacing w:after="240"/>
      </w:pPr>
      <w:r w:rsidRPr="003517DD">
        <w:rPr>
          <w:b/>
          <w:bCs/>
        </w:rPr>
        <w:t>AB 101</w:t>
      </w:r>
      <w:r>
        <w:rPr>
          <w:b/>
          <w:bCs/>
        </w:rPr>
        <w:t xml:space="preserve"> (</w:t>
      </w:r>
      <w:r>
        <w:t>Medina)-Adds the completion of a one-semester course in ethnic studies to the high school graduation requirements commencing with pupils graduating in the 2029-30 school year. Requires the course to be offered beginning in the 2025-2026 school year.</w:t>
      </w:r>
    </w:p>
    <w:p w14:paraId="769EB2FE" w14:textId="5AA16E75" w:rsidR="00DE29A5" w:rsidRDefault="003517DD" w:rsidP="00DA1444">
      <w:pPr>
        <w:spacing w:after="240"/>
        <w:rPr>
          <w:b/>
          <w:bCs/>
        </w:rPr>
      </w:pPr>
      <w:r w:rsidRPr="003517DD">
        <w:rPr>
          <w:b/>
          <w:bCs/>
        </w:rPr>
        <w:t>AB 104</w:t>
      </w:r>
      <w:r>
        <w:rPr>
          <w:b/>
          <w:bCs/>
        </w:rPr>
        <w:t xml:space="preserve"> </w:t>
      </w:r>
      <w:r w:rsidRPr="003517DD">
        <w:t>(Gonzalez</w:t>
      </w:r>
      <w:r w:rsidR="003C5F6F" w:rsidRPr="003517DD">
        <w:t>)</w:t>
      </w:r>
      <w:r w:rsidR="003C5F6F">
        <w:t xml:space="preserve"> -</w:t>
      </w:r>
      <w:r>
        <w:t xml:space="preserve"> </w:t>
      </w:r>
      <w:r w:rsidR="00620E65">
        <w:t>Requires</w:t>
      </w:r>
      <w:r w:rsidR="0003579E">
        <w:t xml:space="preserve"> an LEA to notify parents of their authority to request a pupil be retained in the pupil’s 2020-2021 grade level</w:t>
      </w:r>
      <w:r w:rsidR="00620E65">
        <w:t xml:space="preserve"> for the 2021-2022 school year with specific compliance </w:t>
      </w:r>
      <w:r w:rsidR="003C5F6F">
        <w:t>to</w:t>
      </w:r>
      <w:r w:rsidR="00620E65">
        <w:t xml:space="preserve"> timelines</w:t>
      </w:r>
      <w:r w:rsidR="00996651">
        <w:t xml:space="preserve"> </w:t>
      </w:r>
      <w:r w:rsidR="00620E65">
        <w:t>.</w:t>
      </w:r>
      <w:r w:rsidR="0003579E">
        <w:t>Would authorize a pupil who earned a letter grade in a course required for graduation from high school to change the letter grade to a “Pass or No Pass on the pupil’s transcript. Would require a LEA to exempt all pupils who during the 2020-2021 school year were in their 3</w:t>
      </w:r>
      <w:r w:rsidR="0003579E" w:rsidRPr="0003579E">
        <w:rPr>
          <w:vertAlign w:val="superscript"/>
        </w:rPr>
        <w:t>rd</w:t>
      </w:r>
      <w:r w:rsidR="0003579E">
        <w:t xml:space="preserve"> or 4</w:t>
      </w:r>
      <w:r w:rsidR="0003579E" w:rsidRPr="0003579E">
        <w:rPr>
          <w:vertAlign w:val="superscript"/>
        </w:rPr>
        <w:t>th</w:t>
      </w:r>
      <w:r w:rsidR="0003579E">
        <w:t xml:space="preserve"> year of high school that are in addition to the statewide course</w:t>
      </w:r>
      <w:r w:rsidR="00054791">
        <w:t xml:space="preserve">work </w:t>
      </w:r>
      <w:r w:rsidR="00DE29A5">
        <w:t>requirements</w:t>
      </w:r>
      <w:r w:rsidR="00DE29A5" w:rsidRPr="00DE29A5">
        <w:rPr>
          <w:b/>
          <w:bCs/>
        </w:rPr>
        <w:t>. -</w:t>
      </w:r>
      <w:r w:rsidR="003C6218">
        <w:rPr>
          <w:b/>
          <w:bCs/>
        </w:rPr>
        <w:t>Effective Immediately</w:t>
      </w:r>
    </w:p>
    <w:p w14:paraId="2A6EB350" w14:textId="7E11BE99" w:rsidR="00DE29A5" w:rsidRDefault="00DE29A5" w:rsidP="00DA1444">
      <w:pPr>
        <w:spacing w:after="240"/>
        <w:rPr>
          <w:b/>
          <w:bCs/>
        </w:rPr>
      </w:pPr>
      <w:r>
        <w:rPr>
          <w:b/>
          <w:bCs/>
        </w:rPr>
        <w:t xml:space="preserve">AB 130- </w:t>
      </w:r>
      <w:r>
        <w:t>Budget Trailer Bill- Makes Wholesale Changes to Independent Study Rules and Regulations- -</w:t>
      </w:r>
      <w:r w:rsidRPr="00DE29A5">
        <w:rPr>
          <w:b/>
          <w:bCs/>
        </w:rPr>
        <w:t>Chaptered</w:t>
      </w:r>
      <w:r>
        <w:rPr>
          <w:b/>
          <w:bCs/>
        </w:rPr>
        <w:t xml:space="preserve">- Note: Distance Learning Rules and Regulations have been replaced by Independent Study Regulations. </w:t>
      </w:r>
      <w:r w:rsidR="003C6218">
        <w:rPr>
          <w:b/>
          <w:bCs/>
        </w:rPr>
        <w:t>– Effective Immediately.</w:t>
      </w:r>
    </w:p>
    <w:p w14:paraId="25074F04" w14:textId="3AFA519B" w:rsidR="003C6218" w:rsidRDefault="003C6218" w:rsidP="00DA1444">
      <w:pPr>
        <w:spacing w:after="240"/>
      </w:pPr>
      <w:r>
        <w:rPr>
          <w:b/>
          <w:bCs/>
        </w:rPr>
        <w:t xml:space="preserve">AB 167- </w:t>
      </w:r>
      <w:r>
        <w:t xml:space="preserve">Budget Trailer Bill- Amends AB 130 to clarify Independent Study Regulations and Pass/No Pass Grade Change </w:t>
      </w:r>
      <w:proofErr w:type="gramStart"/>
      <w:r>
        <w:t>Requests.</w:t>
      </w:r>
      <w:r w:rsidR="00CC4509">
        <w:t>-</w:t>
      </w:r>
      <w:proofErr w:type="gramEnd"/>
      <w:r w:rsidR="00CC4509">
        <w:rPr>
          <w:b/>
          <w:bCs/>
        </w:rPr>
        <w:t>Effective Immediately.</w:t>
      </w:r>
      <w:r>
        <w:t xml:space="preserve"> </w:t>
      </w:r>
    </w:p>
    <w:p w14:paraId="4BBA7ACE" w14:textId="0B85FE2B" w:rsidR="003C6218" w:rsidRPr="003C6218" w:rsidRDefault="003C6218" w:rsidP="00DA1444">
      <w:pPr>
        <w:spacing w:after="240"/>
      </w:pPr>
      <w:r w:rsidRPr="003C6218">
        <w:rPr>
          <w:b/>
          <w:bCs/>
        </w:rPr>
        <w:lastRenderedPageBreak/>
        <w:t>AB 309</w:t>
      </w:r>
      <w:r>
        <w:rPr>
          <w:b/>
          <w:bCs/>
        </w:rPr>
        <w:t xml:space="preserve"> </w:t>
      </w:r>
      <w:r w:rsidRPr="003C6218">
        <w:t>(Gabriel)</w:t>
      </w:r>
      <w:r>
        <w:t xml:space="preserve">- Requires the California Department of Education to develop and post on the department’s web site mode student mental health protocols and procedures. </w:t>
      </w:r>
    </w:p>
    <w:p w14:paraId="292D1FB8" w14:textId="261AC697" w:rsidR="00AC7069" w:rsidRPr="00AC7069" w:rsidRDefault="00AC7069" w:rsidP="00DA1444">
      <w:pPr>
        <w:spacing w:after="240"/>
      </w:pPr>
      <w:r w:rsidRPr="00AC7069">
        <w:rPr>
          <w:b/>
        </w:rPr>
        <w:t>AB 367</w:t>
      </w:r>
      <w:r>
        <w:rPr>
          <w:b/>
        </w:rPr>
        <w:t xml:space="preserve"> </w:t>
      </w:r>
      <w:r w:rsidR="003C6218">
        <w:rPr>
          <w:b/>
        </w:rPr>
        <w:t>(</w:t>
      </w:r>
      <w:r>
        <w:t>Garcia</w:t>
      </w:r>
      <w:r w:rsidR="003C6218">
        <w:t>)</w:t>
      </w:r>
      <w:r>
        <w:t xml:space="preserve">- Would require a public school maintaining any combination of classes from grades 6-12 to stock in the school’s restrooms with an adequate supply of free menstrual products in all women’s restrooms </w:t>
      </w:r>
      <w:r w:rsidR="003C5F6F">
        <w:t>and all</w:t>
      </w:r>
      <w:r>
        <w:t xml:space="preserve">-gender </w:t>
      </w:r>
      <w:r w:rsidR="003C5F6F">
        <w:t>restrooms and</w:t>
      </w:r>
      <w:r>
        <w:t xml:space="preserve"> in at least one men’s restroom at all times and to post a designated notice</w:t>
      </w:r>
      <w:r w:rsidR="000F35B7">
        <w:t xml:space="preserve"> in each area</w:t>
      </w:r>
      <w:r>
        <w:t xml:space="preserve"> before the start of the 2022-2023 school year. </w:t>
      </w:r>
    </w:p>
    <w:p w14:paraId="00F546BF" w14:textId="4642831F" w:rsidR="002C0E8C" w:rsidRPr="00166D47" w:rsidRDefault="00166D47" w:rsidP="00DA1444">
      <w:pPr>
        <w:spacing w:after="240"/>
      </w:pPr>
      <w:r w:rsidRPr="00166D47">
        <w:rPr>
          <w:b/>
          <w:bCs/>
        </w:rPr>
        <w:t>AB 516</w:t>
      </w:r>
      <w:r>
        <w:rPr>
          <w:b/>
          <w:bCs/>
        </w:rPr>
        <w:t xml:space="preserve"> </w:t>
      </w:r>
      <w:r>
        <w:t xml:space="preserve">(Dahle)-Would include as an excused absence a student’s participation in a cultural ceremony or event.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60"/>
      </w:tblGrid>
      <w:tr w:rsidR="004319BB" w14:paraId="7DC2B37D" w14:textId="77777777" w:rsidTr="00407F81">
        <w:tc>
          <w:tcPr>
            <w:tcW w:w="9360" w:type="dxa"/>
            <w:shd w:val="clear" w:color="auto" w:fill="D9D9D9" w:themeFill="background1" w:themeFillShade="D9"/>
          </w:tcPr>
          <w:p w14:paraId="3488C38C" w14:textId="78A02AB8" w:rsidR="004319BB" w:rsidRPr="00F26277" w:rsidRDefault="003517DD" w:rsidP="00F26277">
            <w:pPr>
              <w:jc w:val="center"/>
              <w:rPr>
                <w:rFonts w:ascii="Georgia" w:hAnsi="Georgia"/>
                <w:b/>
              </w:rPr>
            </w:pPr>
            <w:r>
              <w:rPr>
                <w:b/>
                <w:bCs/>
              </w:rPr>
              <w:t xml:space="preserve"> (</w:t>
            </w:r>
            <w:r w:rsidR="004319BB" w:rsidRPr="00F26277">
              <w:rPr>
                <w:rFonts w:ascii="Georgia" w:hAnsi="Georgia"/>
                <w:b/>
              </w:rPr>
              <w:t>SENATE BILLS</w:t>
            </w:r>
          </w:p>
        </w:tc>
      </w:tr>
      <w:tr w:rsidR="00417482" w14:paraId="32988832" w14:textId="77777777" w:rsidTr="00407F81">
        <w:tc>
          <w:tcPr>
            <w:tcW w:w="9360" w:type="dxa"/>
            <w:shd w:val="clear" w:color="auto" w:fill="D9D9D9" w:themeFill="background1" w:themeFillShade="D9"/>
          </w:tcPr>
          <w:p w14:paraId="316CB640" w14:textId="77777777" w:rsidR="00417482" w:rsidRPr="00F26277" w:rsidRDefault="00417482" w:rsidP="00F26277">
            <w:pPr>
              <w:jc w:val="center"/>
              <w:rPr>
                <w:rFonts w:ascii="Georgia" w:hAnsi="Georgia"/>
                <w:b/>
              </w:rPr>
            </w:pPr>
          </w:p>
        </w:tc>
      </w:tr>
    </w:tbl>
    <w:p w14:paraId="20ADC2ED" w14:textId="77777777" w:rsidR="00417482" w:rsidRDefault="00417482" w:rsidP="004319BB">
      <w:pPr>
        <w:rPr>
          <w:b/>
        </w:rPr>
      </w:pPr>
    </w:p>
    <w:p w14:paraId="451BD2FE" w14:textId="77777777" w:rsidR="00417482" w:rsidRPr="00B62E48" w:rsidRDefault="00417482" w:rsidP="004319BB"/>
    <w:p w14:paraId="4B2F1752" w14:textId="6BEDAEB4" w:rsidR="00054791" w:rsidRDefault="00054791" w:rsidP="004319BB">
      <w:pPr>
        <w:rPr>
          <w:bCs/>
        </w:rPr>
      </w:pPr>
      <w:r>
        <w:rPr>
          <w:b/>
        </w:rPr>
        <w:t xml:space="preserve">SB 14 </w:t>
      </w:r>
      <w:r>
        <w:rPr>
          <w:bCs/>
        </w:rPr>
        <w:t>(Portantino)- Includes as another type of excused absence that is for the benefit of the mental or behavioral health of the pupil. Requires a LEA to certify on or before January 1,2023 that at least 50% of its certificated employees having directs contact with pupils at each school site or at least two classified and at least 2 certificated employees whichever is greater</w:t>
      </w:r>
      <w:r w:rsidR="006B0955">
        <w:rPr>
          <w:bCs/>
        </w:rPr>
        <w:t>, having received the state department of education training related to mental and behavioral health.</w:t>
      </w:r>
    </w:p>
    <w:p w14:paraId="18540EC7" w14:textId="6BC7A49C" w:rsidR="006B0955" w:rsidRDefault="006B0955" w:rsidP="004319BB">
      <w:pPr>
        <w:rPr>
          <w:bCs/>
        </w:rPr>
      </w:pPr>
    </w:p>
    <w:p w14:paraId="262FD6F8" w14:textId="1456C190" w:rsidR="006B0955" w:rsidRDefault="006B0955" w:rsidP="004319BB">
      <w:pPr>
        <w:rPr>
          <w:bCs/>
        </w:rPr>
      </w:pPr>
    </w:p>
    <w:p w14:paraId="5F4C6024" w14:textId="0BA8AFF3" w:rsidR="006B0955" w:rsidRDefault="006B0955" w:rsidP="004319BB">
      <w:pPr>
        <w:rPr>
          <w:bCs/>
        </w:rPr>
      </w:pPr>
      <w:r w:rsidRPr="006B0955">
        <w:rPr>
          <w:b/>
        </w:rPr>
        <w:t>SB 97</w:t>
      </w:r>
      <w:r>
        <w:rPr>
          <w:b/>
        </w:rPr>
        <w:t xml:space="preserve"> </w:t>
      </w:r>
      <w:r>
        <w:rPr>
          <w:bCs/>
        </w:rPr>
        <w:t>(Roth)- Requires on or after January 1,2023 for each LEA to make diabetes informational materials available to all parents and guardian when the pupil is first enrolled in elementary school and while the pupil is enrolled in grade 7.</w:t>
      </w:r>
    </w:p>
    <w:p w14:paraId="1CA2B2CC" w14:textId="41119CAF" w:rsidR="000F35B7" w:rsidRPr="000F35B7" w:rsidRDefault="000F35B7" w:rsidP="004319BB">
      <w:pPr>
        <w:rPr>
          <w:bCs/>
        </w:rPr>
      </w:pPr>
    </w:p>
    <w:p w14:paraId="61FC3718" w14:textId="77777777" w:rsidR="003C5F6F" w:rsidRDefault="003C5F6F" w:rsidP="004319BB">
      <w:pPr>
        <w:rPr>
          <w:bCs/>
        </w:rPr>
      </w:pPr>
    </w:p>
    <w:p w14:paraId="3415E14B" w14:textId="3ECAFD86" w:rsidR="001105F7" w:rsidRPr="000F35B7" w:rsidRDefault="003C5F6F" w:rsidP="004319BB">
      <w:r w:rsidRPr="003C5F6F">
        <w:rPr>
          <w:b/>
          <w:bCs/>
        </w:rPr>
        <w:t>SB 5</w:t>
      </w:r>
      <w:r w:rsidR="000F35B7">
        <w:rPr>
          <w:b/>
          <w:bCs/>
        </w:rPr>
        <w:t>12</w:t>
      </w:r>
      <w:r w:rsidR="000F35B7">
        <w:t>(Min)- Expands current definition and age level of extended support to Foster Youth.</w:t>
      </w:r>
    </w:p>
    <w:p w14:paraId="3E1618F9" w14:textId="77777777" w:rsidR="0048732E" w:rsidRPr="0048732E" w:rsidRDefault="0048732E" w:rsidP="004319BB">
      <w:pPr>
        <w:rPr>
          <w:bCs/>
        </w:rPr>
      </w:pPr>
    </w:p>
    <w:p w14:paraId="5A7226C5" w14:textId="77777777" w:rsidR="00B62E48" w:rsidRDefault="00B62E48" w:rsidP="004319BB">
      <w:pPr>
        <w:rPr>
          <w:b/>
        </w:rPr>
      </w:pPr>
    </w:p>
    <w:p w14:paraId="68463738" w14:textId="77777777" w:rsidR="00B62E48" w:rsidRDefault="00B62E48" w:rsidP="004319BB">
      <w:pPr>
        <w:rPr>
          <w:b/>
        </w:rPr>
      </w:pPr>
    </w:p>
    <w:p w14:paraId="68C14F82" w14:textId="77777777" w:rsidR="00B62E48" w:rsidRDefault="00B62E48" w:rsidP="004319BB">
      <w:pPr>
        <w:rPr>
          <w:b/>
        </w:rPr>
      </w:pPr>
    </w:p>
    <w:p w14:paraId="5B142B35" w14:textId="77777777" w:rsidR="00B62E48" w:rsidRDefault="00B62E48" w:rsidP="004319BB">
      <w:pPr>
        <w:rPr>
          <w:b/>
        </w:rPr>
      </w:pPr>
    </w:p>
    <w:p w14:paraId="2FCA6932" w14:textId="77777777" w:rsidR="00B62E48" w:rsidRDefault="00B62E48" w:rsidP="004319BB">
      <w:pPr>
        <w:rPr>
          <w:b/>
        </w:rPr>
      </w:pPr>
    </w:p>
    <w:p w14:paraId="03326DF2" w14:textId="77777777" w:rsidR="00B67392" w:rsidRDefault="00B67392" w:rsidP="004319BB">
      <w:pPr>
        <w:rPr>
          <w:b/>
        </w:rPr>
      </w:pPr>
    </w:p>
    <w:p w14:paraId="40B09B08" w14:textId="77777777" w:rsidR="00417482" w:rsidRDefault="00417482" w:rsidP="004319BB">
      <w:pPr>
        <w:rPr>
          <w:b/>
        </w:rPr>
      </w:pPr>
    </w:p>
    <w:p w14:paraId="52384BA3" w14:textId="77777777" w:rsidR="00417482" w:rsidRDefault="00417482" w:rsidP="004319BB">
      <w:pPr>
        <w:rPr>
          <w:b/>
        </w:rPr>
      </w:pPr>
    </w:p>
    <w:p w14:paraId="54BA92DE" w14:textId="77777777" w:rsidR="00417482" w:rsidRDefault="00417482" w:rsidP="004319BB">
      <w:pPr>
        <w:rPr>
          <w:b/>
        </w:rPr>
      </w:pPr>
    </w:p>
    <w:p w14:paraId="14A122A5" w14:textId="77777777" w:rsidR="00417482" w:rsidRDefault="00417482" w:rsidP="004319BB">
      <w:pPr>
        <w:rPr>
          <w:b/>
        </w:rPr>
      </w:pPr>
      <w:r>
        <w:rPr>
          <w:b/>
        </w:rPr>
        <w:t xml:space="preserve">                 </w:t>
      </w:r>
    </w:p>
    <w:p w14:paraId="04BADF2C" w14:textId="77777777" w:rsidR="00DA1444" w:rsidRDefault="00DA1444">
      <w:pPr>
        <w:spacing w:after="240"/>
      </w:pPr>
    </w:p>
    <w:sectPr w:rsidR="00DA1444" w:rsidSect="00DF734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715D"/>
    <w:multiLevelType w:val="hybridMultilevel"/>
    <w:tmpl w:val="7DEEA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E409E6"/>
    <w:multiLevelType w:val="hybridMultilevel"/>
    <w:tmpl w:val="9D960DA8"/>
    <w:lvl w:ilvl="0" w:tplc="7D826B9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5A3C1B"/>
    <w:multiLevelType w:val="hybridMultilevel"/>
    <w:tmpl w:val="EF0A1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50C"/>
    <w:rsid w:val="000221E9"/>
    <w:rsid w:val="000240EA"/>
    <w:rsid w:val="0003579E"/>
    <w:rsid w:val="000361A2"/>
    <w:rsid w:val="0004634A"/>
    <w:rsid w:val="00054791"/>
    <w:rsid w:val="00065B20"/>
    <w:rsid w:val="00076B83"/>
    <w:rsid w:val="000B7B6D"/>
    <w:rsid w:val="000F02B6"/>
    <w:rsid w:val="000F35B7"/>
    <w:rsid w:val="001105F7"/>
    <w:rsid w:val="00122EAA"/>
    <w:rsid w:val="00161425"/>
    <w:rsid w:val="00166D47"/>
    <w:rsid w:val="001F4103"/>
    <w:rsid w:val="002065FA"/>
    <w:rsid w:val="00215EAA"/>
    <w:rsid w:val="00225A95"/>
    <w:rsid w:val="0025487C"/>
    <w:rsid w:val="002A67B4"/>
    <w:rsid w:val="002B3337"/>
    <w:rsid w:val="002C0E8C"/>
    <w:rsid w:val="002E5DEF"/>
    <w:rsid w:val="0032029C"/>
    <w:rsid w:val="00345774"/>
    <w:rsid w:val="00347A62"/>
    <w:rsid w:val="003517DD"/>
    <w:rsid w:val="003C5F6F"/>
    <w:rsid w:val="003C6001"/>
    <w:rsid w:val="003C6218"/>
    <w:rsid w:val="003C6F2C"/>
    <w:rsid w:val="00407F81"/>
    <w:rsid w:val="00417482"/>
    <w:rsid w:val="004244DD"/>
    <w:rsid w:val="004252D2"/>
    <w:rsid w:val="0043108D"/>
    <w:rsid w:val="004319BB"/>
    <w:rsid w:val="00482B13"/>
    <w:rsid w:val="004841BC"/>
    <w:rsid w:val="0048732E"/>
    <w:rsid w:val="00495A32"/>
    <w:rsid w:val="004D7930"/>
    <w:rsid w:val="005056BF"/>
    <w:rsid w:val="005445A1"/>
    <w:rsid w:val="005C2982"/>
    <w:rsid w:val="005C32EB"/>
    <w:rsid w:val="005F0EF4"/>
    <w:rsid w:val="00620E65"/>
    <w:rsid w:val="00622F66"/>
    <w:rsid w:val="00641DF9"/>
    <w:rsid w:val="0065347F"/>
    <w:rsid w:val="00655FE5"/>
    <w:rsid w:val="00664018"/>
    <w:rsid w:val="006664E6"/>
    <w:rsid w:val="00672AA4"/>
    <w:rsid w:val="0069349F"/>
    <w:rsid w:val="00693902"/>
    <w:rsid w:val="00695765"/>
    <w:rsid w:val="006B0955"/>
    <w:rsid w:val="006C0B8C"/>
    <w:rsid w:val="00700ADE"/>
    <w:rsid w:val="00716E35"/>
    <w:rsid w:val="007401B2"/>
    <w:rsid w:val="00767747"/>
    <w:rsid w:val="00784CA3"/>
    <w:rsid w:val="00785F66"/>
    <w:rsid w:val="007933D7"/>
    <w:rsid w:val="007B6356"/>
    <w:rsid w:val="007E6C6A"/>
    <w:rsid w:val="007F00D8"/>
    <w:rsid w:val="00813FB8"/>
    <w:rsid w:val="00864596"/>
    <w:rsid w:val="0087695E"/>
    <w:rsid w:val="0089351D"/>
    <w:rsid w:val="008D5C13"/>
    <w:rsid w:val="008D6A2C"/>
    <w:rsid w:val="00901043"/>
    <w:rsid w:val="0090372A"/>
    <w:rsid w:val="0092118F"/>
    <w:rsid w:val="0095303B"/>
    <w:rsid w:val="009568B7"/>
    <w:rsid w:val="00996651"/>
    <w:rsid w:val="009B3FE0"/>
    <w:rsid w:val="009C0235"/>
    <w:rsid w:val="009F24CE"/>
    <w:rsid w:val="009F7665"/>
    <w:rsid w:val="00A14B13"/>
    <w:rsid w:val="00A15EB9"/>
    <w:rsid w:val="00A31201"/>
    <w:rsid w:val="00A6367A"/>
    <w:rsid w:val="00AB52FA"/>
    <w:rsid w:val="00AC050C"/>
    <w:rsid w:val="00AC7069"/>
    <w:rsid w:val="00AF050F"/>
    <w:rsid w:val="00AF2FAC"/>
    <w:rsid w:val="00B13B33"/>
    <w:rsid w:val="00B25588"/>
    <w:rsid w:val="00B25C49"/>
    <w:rsid w:val="00B32C78"/>
    <w:rsid w:val="00B5564B"/>
    <w:rsid w:val="00B62E48"/>
    <w:rsid w:val="00B67392"/>
    <w:rsid w:val="00B76E64"/>
    <w:rsid w:val="00BC4EEB"/>
    <w:rsid w:val="00C139E6"/>
    <w:rsid w:val="00C42987"/>
    <w:rsid w:val="00C44CB1"/>
    <w:rsid w:val="00C5347B"/>
    <w:rsid w:val="00C642DA"/>
    <w:rsid w:val="00C74239"/>
    <w:rsid w:val="00C80A0E"/>
    <w:rsid w:val="00C94FD9"/>
    <w:rsid w:val="00CA4B2A"/>
    <w:rsid w:val="00CC4509"/>
    <w:rsid w:val="00CE4B8F"/>
    <w:rsid w:val="00D00E38"/>
    <w:rsid w:val="00DA1444"/>
    <w:rsid w:val="00DB3AA1"/>
    <w:rsid w:val="00DB3AB7"/>
    <w:rsid w:val="00DC6584"/>
    <w:rsid w:val="00DE29A5"/>
    <w:rsid w:val="00DF7348"/>
    <w:rsid w:val="00E50E50"/>
    <w:rsid w:val="00E62CED"/>
    <w:rsid w:val="00E919D5"/>
    <w:rsid w:val="00E96E86"/>
    <w:rsid w:val="00EB1156"/>
    <w:rsid w:val="00ED750E"/>
    <w:rsid w:val="00EF6132"/>
    <w:rsid w:val="00F26277"/>
    <w:rsid w:val="00F368E0"/>
    <w:rsid w:val="00F74989"/>
    <w:rsid w:val="00F769E9"/>
    <w:rsid w:val="00F8362E"/>
    <w:rsid w:val="00F9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6B0F"/>
  <w15:docId w15:val="{0742FC3E-99C4-4877-9145-F3109384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50C"/>
    <w:rPr>
      <w:rFonts w:ascii="Tahoma" w:hAnsi="Tahoma" w:cs="Tahoma"/>
      <w:sz w:val="16"/>
      <w:szCs w:val="16"/>
    </w:rPr>
  </w:style>
  <w:style w:type="character" w:customStyle="1" w:styleId="BalloonTextChar">
    <w:name w:val="Balloon Text Char"/>
    <w:basedOn w:val="DefaultParagraphFont"/>
    <w:link w:val="BalloonText"/>
    <w:uiPriority w:val="99"/>
    <w:semiHidden/>
    <w:rsid w:val="00AC050C"/>
    <w:rPr>
      <w:rFonts w:ascii="Tahoma" w:hAnsi="Tahoma" w:cs="Tahoma"/>
      <w:sz w:val="16"/>
      <w:szCs w:val="16"/>
    </w:rPr>
  </w:style>
  <w:style w:type="paragraph" w:styleId="ListParagraph">
    <w:name w:val="List Paragraph"/>
    <w:basedOn w:val="Normal"/>
    <w:uiPriority w:val="34"/>
    <w:qFormat/>
    <w:rsid w:val="00AC050C"/>
    <w:pPr>
      <w:ind w:left="720"/>
      <w:contextualSpacing/>
    </w:pPr>
  </w:style>
  <w:style w:type="table" w:styleId="TableGrid">
    <w:name w:val="Table Grid"/>
    <w:basedOn w:val="TableNormal"/>
    <w:uiPriority w:val="59"/>
    <w:rsid w:val="0054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3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embly.ca.gov" TargetMode="External"/><Relationship Id="rId3" Type="http://schemas.openxmlformats.org/officeDocument/2006/relationships/styles" Target="styles.xml"/><Relationship Id="rId7" Type="http://schemas.openxmlformats.org/officeDocument/2006/relationships/hyperlink" Target="http://www.senate.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81D34-BD4E-47BF-9334-EC7DBEBF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Bravo</dc:creator>
  <cp:lastModifiedBy>Frank Boehler</cp:lastModifiedBy>
  <cp:revision>2</cp:revision>
  <cp:lastPrinted>2021-07-29T01:43:00Z</cp:lastPrinted>
  <dcterms:created xsi:type="dcterms:W3CDTF">2021-10-12T22:32:00Z</dcterms:created>
  <dcterms:modified xsi:type="dcterms:W3CDTF">2021-10-12T22:32:00Z</dcterms:modified>
</cp:coreProperties>
</file>